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4A" w:rsidRPr="001E104A" w:rsidRDefault="001E104A" w:rsidP="001E104A">
      <w:pPr>
        <w:pStyle w:val="Ttulo1"/>
        <w:shd w:val="clear" w:color="auto" w:fill="FFFFFF"/>
        <w:spacing w:before="0" w:beforeAutospacing="0" w:after="75" w:afterAutospacing="0"/>
        <w:rPr>
          <w:rFonts w:ascii="Helvetica" w:hAnsi="Helvetica" w:cs="Helvetica"/>
          <w:color w:val="444444"/>
          <w:sz w:val="27"/>
          <w:szCs w:val="27"/>
          <w:u w:val="single"/>
        </w:rPr>
      </w:pPr>
      <w:r w:rsidRPr="001E104A">
        <w:rPr>
          <w:rFonts w:ascii="Helvetica" w:hAnsi="Helvetica" w:cs="Helvetica"/>
          <w:color w:val="444444"/>
          <w:sz w:val="27"/>
          <w:szCs w:val="27"/>
          <w:u w:val="single"/>
        </w:rPr>
        <w:t>Dirección General Del Catastro Nacional</w:t>
      </w:r>
    </w:p>
    <w:p w:rsidR="001E104A" w:rsidRDefault="001E104A" w:rsidP="001E104A">
      <w:pPr>
        <w:shd w:val="clear" w:color="auto" w:fill="FFFFFF"/>
        <w:spacing w:before="150" w:after="300" w:line="240" w:lineRule="auto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42"/>
          <w:szCs w:val="42"/>
          <w:lang w:eastAsia="es-DO"/>
        </w:rPr>
      </w:pPr>
    </w:p>
    <w:p w:rsidR="001E104A" w:rsidRDefault="001E104A" w:rsidP="001E104A">
      <w:pPr>
        <w:shd w:val="clear" w:color="auto" w:fill="FFFFFF"/>
        <w:spacing w:before="150" w:after="300" w:line="240" w:lineRule="auto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42"/>
          <w:szCs w:val="42"/>
          <w:lang w:eastAsia="es-DO"/>
        </w:rPr>
      </w:pPr>
    </w:p>
    <w:p w:rsidR="001E104A" w:rsidRDefault="001E104A" w:rsidP="001E104A">
      <w:pPr>
        <w:shd w:val="clear" w:color="auto" w:fill="FFFFFF"/>
        <w:spacing w:before="150" w:after="300" w:line="240" w:lineRule="auto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42"/>
          <w:szCs w:val="42"/>
          <w:lang w:eastAsia="es-DO"/>
        </w:rPr>
      </w:pPr>
      <w:r>
        <w:rPr>
          <w:rFonts w:ascii="Helvetica" w:eastAsia="Times New Roman" w:hAnsi="Helvetica" w:cs="Helvetica"/>
          <w:b/>
          <w:bCs/>
          <w:color w:val="444444"/>
          <w:kern w:val="36"/>
          <w:sz w:val="42"/>
          <w:szCs w:val="42"/>
          <w:lang w:eastAsia="es-DO"/>
        </w:rPr>
        <w:t>Conjunto de datos abiertos</w:t>
      </w:r>
      <w:bookmarkStart w:id="0" w:name="_GoBack"/>
      <w:bookmarkEnd w:id="0"/>
    </w:p>
    <w:p w:rsidR="001E104A" w:rsidRDefault="001E104A" w:rsidP="001E104A">
      <w:pPr>
        <w:shd w:val="clear" w:color="auto" w:fill="FFFFFF"/>
        <w:spacing w:before="150" w:after="300" w:line="240" w:lineRule="auto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42"/>
          <w:szCs w:val="42"/>
          <w:lang w:eastAsia="es-DO"/>
        </w:rPr>
      </w:pPr>
    </w:p>
    <w:p w:rsidR="001E104A" w:rsidRPr="001E104A" w:rsidRDefault="001E104A" w:rsidP="001E104A">
      <w:pPr>
        <w:shd w:val="clear" w:color="auto" w:fill="FFFFFF"/>
        <w:spacing w:before="150" w:after="300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42"/>
          <w:szCs w:val="42"/>
          <w:lang w:eastAsia="es-DO"/>
        </w:rPr>
      </w:pPr>
      <w:r w:rsidRPr="001E104A">
        <w:rPr>
          <w:rFonts w:ascii="Helvetica" w:eastAsia="Times New Roman" w:hAnsi="Helvetica" w:cs="Helvetica"/>
          <w:b/>
          <w:bCs/>
          <w:color w:val="444444"/>
          <w:kern w:val="36"/>
          <w:sz w:val="42"/>
          <w:szCs w:val="42"/>
          <w:lang w:eastAsia="es-DO"/>
        </w:rPr>
        <w:t>Nómina de Empleados</w:t>
      </w:r>
    </w:p>
    <w:p w:rsidR="00B844DB" w:rsidRDefault="001E104A" w:rsidP="001E104A">
      <w:pPr>
        <w:jc w:val="both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Este conjunto de datos contiene las relaciones de Nómina de empleados de la Dirección General Del Catastro Nacional (DGCN), gen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eradas en el periodo 2017 hasta la fecha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en el que se puede encontrar el registro financiero de los salarios de los colaboradores de la DGCN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</w:p>
    <w:p w:rsidR="001E104A" w:rsidRDefault="001E104A" w:rsidP="001E104A">
      <w:pPr>
        <w:jc w:val="both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1E104A" w:rsidRDefault="001E104A" w:rsidP="001E104A">
      <w:pPr>
        <w:pStyle w:val="Ttulo1"/>
        <w:shd w:val="clear" w:color="auto" w:fill="FFFFFF"/>
        <w:spacing w:before="150" w:beforeAutospacing="0" w:after="300" w:afterAutospacing="0"/>
        <w:jc w:val="both"/>
        <w:rPr>
          <w:rFonts w:ascii="Helvetica" w:hAnsi="Helvetica" w:cs="Helvetica"/>
          <w:color w:val="444444"/>
          <w:sz w:val="42"/>
          <w:szCs w:val="42"/>
        </w:rPr>
      </w:pPr>
      <w:r>
        <w:rPr>
          <w:rFonts w:ascii="Helvetica" w:hAnsi="Helvetica" w:cs="Helvetica"/>
          <w:color w:val="444444"/>
          <w:sz w:val="42"/>
          <w:szCs w:val="42"/>
        </w:rPr>
        <w:t>Estadísticas OAI</w:t>
      </w:r>
    </w:p>
    <w:p w:rsidR="001E104A" w:rsidRDefault="001E104A" w:rsidP="001E104A">
      <w:pPr>
        <w:jc w:val="both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Este conjunto de datos contiene las Estadísticas OAI de la Dirección General Del Catastro Nacio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nal (DGCN) del periodo 2017-hasta la fecha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en el cual se puede encontrar las estadísticas de la Oficina de Libre Acceso a la Información (OAI) de las solicitudes realizadas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</w:p>
    <w:p w:rsidR="001E104A" w:rsidRDefault="001E104A" w:rsidP="001E104A">
      <w:pPr>
        <w:jc w:val="both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1E104A" w:rsidRDefault="001E104A" w:rsidP="001E104A">
      <w:pPr>
        <w:jc w:val="both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1E104A" w:rsidRDefault="001E104A" w:rsidP="001E104A">
      <w:pPr>
        <w:pStyle w:val="Ttulo1"/>
        <w:shd w:val="clear" w:color="auto" w:fill="FFFFFF"/>
        <w:spacing w:before="150" w:beforeAutospacing="0" w:after="300" w:afterAutospacing="0"/>
        <w:jc w:val="both"/>
        <w:rPr>
          <w:rFonts w:ascii="Helvetica" w:hAnsi="Helvetica" w:cs="Helvetica"/>
          <w:color w:val="444444"/>
          <w:sz w:val="42"/>
          <w:szCs w:val="42"/>
        </w:rPr>
      </w:pPr>
      <w:r>
        <w:rPr>
          <w:rFonts w:ascii="Helvetica" w:hAnsi="Helvetica" w:cs="Helvetica"/>
          <w:color w:val="444444"/>
          <w:sz w:val="42"/>
          <w:szCs w:val="42"/>
        </w:rPr>
        <w:t>Índice</w:t>
      </w:r>
      <w:r>
        <w:rPr>
          <w:rFonts w:ascii="Helvetica" w:hAnsi="Helvetica" w:cs="Helvetica"/>
          <w:color w:val="444444"/>
          <w:sz w:val="42"/>
          <w:szCs w:val="42"/>
        </w:rPr>
        <w:t xml:space="preserve"> de Precios</w:t>
      </w:r>
    </w:p>
    <w:p w:rsidR="001E104A" w:rsidRPr="001E104A" w:rsidRDefault="001E104A" w:rsidP="001E104A">
      <w:pPr>
        <w:pStyle w:val="Ttulo1"/>
        <w:shd w:val="clear" w:color="auto" w:fill="FFFFFF"/>
        <w:spacing w:before="150" w:beforeAutospacing="0" w:after="300" w:afterAutospacing="0"/>
        <w:jc w:val="both"/>
        <w:rPr>
          <w:rFonts w:ascii="Helvetica" w:hAnsi="Helvetica" w:cs="Helvetica"/>
          <w:b w:val="0"/>
          <w:color w:val="444444"/>
          <w:sz w:val="42"/>
          <w:szCs w:val="42"/>
        </w:rPr>
      </w:pPr>
      <w:r w:rsidRPr="001E104A">
        <w:rPr>
          <w:rFonts w:ascii="Helvetica" w:hAnsi="Helvetica" w:cs="Helvetica"/>
          <w:b w:val="0"/>
          <w:color w:val="444444"/>
          <w:sz w:val="21"/>
          <w:szCs w:val="21"/>
          <w:shd w:val="clear" w:color="auto" w:fill="FFFFFF"/>
        </w:rPr>
        <w:t>Este conjunto de datos contiene los índices de Precios de la Dirección General del Catastro Nacio</w:t>
      </w:r>
      <w:r>
        <w:rPr>
          <w:rFonts w:ascii="Helvetica" w:hAnsi="Helvetica" w:cs="Helvetica"/>
          <w:b w:val="0"/>
          <w:color w:val="444444"/>
          <w:sz w:val="21"/>
          <w:szCs w:val="21"/>
          <w:shd w:val="clear" w:color="auto" w:fill="FFFFFF"/>
        </w:rPr>
        <w:t xml:space="preserve">nal (DGCN) del periodo 2017-hasta la fecha </w:t>
      </w:r>
      <w:r w:rsidRPr="001E104A">
        <w:rPr>
          <w:rFonts w:ascii="Helvetica" w:hAnsi="Helvetica" w:cs="Helvetica"/>
          <w:b w:val="0"/>
          <w:color w:val="444444"/>
          <w:sz w:val="21"/>
          <w:szCs w:val="21"/>
          <w:shd w:val="clear" w:color="auto" w:fill="FFFFFF"/>
        </w:rPr>
        <w:t>en el cual se puede encontrar el valor por metro cuadrado de los diferentes sectores, subsectores y vías principales que componen la parte urbana de diferentes provincias del país</w:t>
      </w:r>
      <w:r>
        <w:rPr>
          <w:rFonts w:ascii="Helvetica" w:hAnsi="Helvetica" w:cs="Helvetica"/>
          <w:b w:val="0"/>
          <w:color w:val="444444"/>
          <w:sz w:val="21"/>
          <w:szCs w:val="21"/>
          <w:shd w:val="clear" w:color="auto" w:fill="FFFFFF"/>
        </w:rPr>
        <w:t>.</w:t>
      </w:r>
    </w:p>
    <w:p w:rsidR="001E104A" w:rsidRDefault="001E104A" w:rsidP="001E104A">
      <w:pPr>
        <w:jc w:val="both"/>
      </w:pPr>
    </w:p>
    <w:sectPr w:rsidR="001E10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4A"/>
    <w:rsid w:val="001804CC"/>
    <w:rsid w:val="001E104A"/>
    <w:rsid w:val="0085704A"/>
    <w:rsid w:val="008C76A3"/>
    <w:rsid w:val="00B844DB"/>
    <w:rsid w:val="00BB3F1A"/>
    <w:rsid w:val="00E7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AF98"/>
  <w15:chartTrackingRefBased/>
  <w15:docId w15:val="{11F33A4E-6027-4700-ADD5-AD0F95A3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E1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104A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Acosta</dc:creator>
  <cp:keywords/>
  <dc:description/>
  <cp:lastModifiedBy>Carlos Acosta</cp:lastModifiedBy>
  <cp:revision>1</cp:revision>
  <dcterms:created xsi:type="dcterms:W3CDTF">2022-01-11T12:30:00Z</dcterms:created>
  <dcterms:modified xsi:type="dcterms:W3CDTF">2022-01-11T12:41:00Z</dcterms:modified>
</cp:coreProperties>
</file>